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6F5" w:rsidRPr="00627C04" w:rsidRDefault="003B26F5" w:rsidP="00004F49">
      <w:pPr>
        <w:pStyle w:val="1"/>
        <w:rPr>
          <w:rFonts w:ascii="Times New Roman" w:eastAsia="Times New Roman" w:hAnsi="Times New Roman" w:cs="Times New Roman"/>
          <w:sz w:val="18"/>
          <w:szCs w:val="18"/>
        </w:rPr>
      </w:pPr>
      <w:r w:rsidRPr="00627C04">
        <w:rPr>
          <w:rFonts w:ascii="Times New Roman" w:eastAsia="Times New Roman" w:hAnsi="Times New Roman" w:cs="Times New Roman"/>
          <w:sz w:val="18"/>
          <w:szCs w:val="18"/>
        </w:rPr>
        <w:t>Приложение 2 к тендерной документации</w:t>
      </w:r>
    </w:p>
    <w:p w:rsidR="003B26F5" w:rsidRPr="00627C04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256FA5" w:rsidRPr="00D81474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8147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1) Товар должен быть зарегистрирован в Республике Казахстан и готов к применению в соответствии с Кодексом Республики Казахстан </w:t>
      </w:r>
      <w:r w:rsidR="008D6F7C" w:rsidRPr="00D8147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от 7 июля 2020 года </w:t>
      </w:r>
      <w:r w:rsidRPr="00D81474">
        <w:rPr>
          <w:rFonts w:ascii="Times New Roman" w:eastAsia="Times New Roman" w:hAnsi="Times New Roman" w:cs="Times New Roman"/>
          <w:color w:val="000000"/>
          <w:sz w:val="18"/>
          <w:szCs w:val="18"/>
        </w:rPr>
        <w:t>«О здоровье народа и системе здравоохранения» №</w:t>
      </w:r>
      <w:r w:rsidR="008D6F7C" w:rsidRPr="00D8147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360-VI </w:t>
      </w:r>
      <w:r w:rsidRPr="00D81474">
        <w:rPr>
          <w:rFonts w:ascii="Times New Roman" w:eastAsia="Times New Roman" w:hAnsi="Times New Roman" w:cs="Times New Roman"/>
          <w:color w:val="000000"/>
          <w:sz w:val="18"/>
          <w:szCs w:val="18"/>
        </w:rPr>
        <w:t>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D81474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81474">
        <w:rPr>
          <w:rFonts w:ascii="Times New Roman" w:eastAsia="Times New Roman" w:hAnsi="Times New Roman" w:cs="Times New Roman"/>
          <w:color w:val="000000"/>
          <w:sz w:val="18"/>
          <w:szCs w:val="18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</w:p>
    <w:p w:rsidR="00256FA5" w:rsidRPr="00D81474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81474">
        <w:rPr>
          <w:rFonts w:ascii="Times New Roman" w:eastAsia="Times New Roman" w:hAnsi="Times New Roman" w:cs="Times New Roman"/>
          <w:color w:val="000000"/>
          <w:sz w:val="18"/>
          <w:szCs w:val="18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256FA5" w:rsidRPr="00D81474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81474">
        <w:rPr>
          <w:rFonts w:ascii="Times New Roman" w:eastAsia="Times New Roman" w:hAnsi="Times New Roman" w:cs="Times New Roman"/>
          <w:color w:val="000000"/>
          <w:sz w:val="18"/>
          <w:szCs w:val="18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D81474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81474">
        <w:rPr>
          <w:rFonts w:ascii="Times New Roman" w:eastAsia="Times New Roman" w:hAnsi="Times New Roman" w:cs="Times New Roman"/>
          <w:color w:val="000000"/>
          <w:sz w:val="18"/>
          <w:szCs w:val="18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D81474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81474">
        <w:rPr>
          <w:rFonts w:ascii="Times New Roman" w:eastAsia="Times New Roman" w:hAnsi="Times New Roman" w:cs="Times New Roman"/>
          <w:color w:val="000000"/>
          <w:sz w:val="18"/>
          <w:szCs w:val="18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</w:p>
    <w:p w:rsidR="00256FA5" w:rsidRPr="00D81474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8147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Сопутствующие услуги:</w:t>
      </w:r>
      <w:r w:rsidRPr="00D8147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доставка, разгрузка товара на склад Заказчика, обучение персонала по правильному использованию (в случае необходимости).</w:t>
      </w:r>
    </w:p>
    <w:p w:rsidR="003B26F5" w:rsidRPr="00D81474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18"/>
          <w:szCs w:val="18"/>
        </w:rPr>
      </w:pPr>
    </w:p>
    <w:p w:rsidR="003B26F5" w:rsidRPr="00D81474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2206"/>
      </w:tblGrid>
      <w:tr w:rsidR="00687590" w:rsidRPr="00D81474" w:rsidTr="00D81474">
        <w:trPr>
          <w:trHeight w:val="170"/>
        </w:trPr>
        <w:tc>
          <w:tcPr>
            <w:tcW w:w="710" w:type="dxa"/>
            <w:shd w:val="clear" w:color="auto" w:fill="auto"/>
            <w:vAlign w:val="center"/>
            <w:hideMark/>
          </w:tcPr>
          <w:p w:rsidR="005316B5" w:rsidRPr="00D81474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14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316B5" w:rsidRPr="00D81474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14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2206" w:type="dxa"/>
            <w:shd w:val="clear" w:color="auto" w:fill="auto"/>
            <w:vAlign w:val="center"/>
            <w:hideMark/>
          </w:tcPr>
          <w:p w:rsidR="005316B5" w:rsidRPr="00D81474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14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Полная характеристика (описание) товара</w:t>
            </w:r>
          </w:p>
        </w:tc>
      </w:tr>
      <w:tr w:rsidR="00B354E9" w:rsidRPr="00D81474" w:rsidTr="00275AA8">
        <w:trPr>
          <w:trHeight w:val="170"/>
        </w:trPr>
        <w:tc>
          <w:tcPr>
            <w:tcW w:w="710" w:type="dxa"/>
            <w:shd w:val="clear" w:color="auto" w:fill="auto"/>
          </w:tcPr>
          <w:p w:rsidR="00B354E9" w:rsidRPr="00D81474" w:rsidRDefault="00B354E9" w:rsidP="00B354E9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000000" w:fill="FFFFFF"/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r w:rsidRPr="00B354E9">
              <w:rPr>
                <w:rFonts w:ascii="Times New Roman" w:hAnsi="Times New Roman" w:cs="Times New Roman"/>
              </w:rPr>
              <w:t xml:space="preserve">Периферийная спиралевидная система AZUR® CX </w:t>
            </w:r>
            <w:proofErr w:type="spellStart"/>
            <w:r w:rsidRPr="00B354E9">
              <w:rPr>
                <w:rFonts w:ascii="Times New Roman" w:hAnsi="Times New Roman" w:cs="Times New Roman"/>
              </w:rPr>
              <w:t>Detachable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18</w:t>
            </w:r>
          </w:p>
        </w:tc>
        <w:tc>
          <w:tcPr>
            <w:tcW w:w="12206" w:type="dxa"/>
            <w:shd w:val="clear" w:color="auto" w:fill="auto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r w:rsidRPr="00B354E9">
              <w:rPr>
                <w:rFonts w:ascii="Times New Roman" w:hAnsi="Times New Roman" w:cs="Times New Roman"/>
              </w:rPr>
              <w:t xml:space="preserve">Система периферийных катушек AZUR® CX </w:t>
            </w:r>
            <w:proofErr w:type="spellStart"/>
            <w:r w:rsidRPr="00B354E9">
              <w:rPr>
                <w:rFonts w:ascii="Times New Roman" w:hAnsi="Times New Roman" w:cs="Times New Roman"/>
              </w:rPr>
              <w:t>Detachable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18 представляет новую и уникальную концепцию: первый и единственный периферийный </w:t>
            </w:r>
            <w:proofErr w:type="spellStart"/>
            <w:r w:rsidRPr="00B354E9">
              <w:rPr>
                <w:rFonts w:ascii="Times New Roman" w:hAnsi="Times New Roman" w:cs="Times New Roman"/>
              </w:rPr>
              <w:t>HydroCoil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с поперечным покрытием и преимуществами запатентованной технологии гидрогеля, позволяющей легко управлять в зонах с высокой интенсивностью потока. Заполнение просвета сосуда или аневризмы осуществляется благодаря расширению гидрогеля в самой спирали за счет контакта с кровью – это уникальное преимущество, которое делает данные спирали наиболее эффективными по сравнению с аналогичными медицинскими изделиями. Данный гидрогель заполняет разрывы между спиралями (платиновая катушка, покрытая гидрогелем) и направляет их к стенкам сосудов.</w:t>
            </w:r>
            <w:r w:rsidRPr="00B354E9">
              <w:rPr>
                <w:rFonts w:ascii="Times New Roman" w:hAnsi="Times New Roman" w:cs="Times New Roman"/>
              </w:rPr>
              <w:br/>
              <w:t>Сложная форма с петлями различного диаметра для оптимального покрытия в зонах с высокой интенсивностью потока. Диаметр петли: 4 мм., 5 мм., 6 мм., 7 мм., 8 мм., 9 мм., 10 мм., 12 мм., 14 мм., 16 мм., 18 мм., 20 мм.</w:t>
            </w:r>
            <w:r w:rsidRPr="00B354E9">
              <w:rPr>
                <w:rFonts w:ascii="Times New Roman" w:hAnsi="Times New Roman" w:cs="Times New Roman"/>
              </w:rPr>
              <w:br/>
              <w:t>Длина: 13 см., 16 см., 20 см., 24 см., 28 см., 32 см., 34 см., 36 см., 38 см., 39 см., 40 см.</w:t>
            </w:r>
          </w:p>
        </w:tc>
      </w:tr>
      <w:tr w:rsidR="00B354E9" w:rsidRPr="00D81474" w:rsidTr="00275AA8">
        <w:trPr>
          <w:trHeight w:val="170"/>
        </w:trPr>
        <w:tc>
          <w:tcPr>
            <w:tcW w:w="710" w:type="dxa"/>
            <w:shd w:val="clear" w:color="auto" w:fill="auto"/>
          </w:tcPr>
          <w:p w:rsidR="00B354E9" w:rsidRPr="00D81474" w:rsidRDefault="00B354E9" w:rsidP="00B354E9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000000" w:fill="FFFFFF"/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r w:rsidRPr="00B354E9">
              <w:rPr>
                <w:rFonts w:ascii="Times New Roman" w:hAnsi="Times New Roman" w:cs="Times New Roman"/>
              </w:rPr>
              <w:t>Система отделяемых спиралей PC 400</w:t>
            </w:r>
          </w:p>
        </w:tc>
        <w:tc>
          <w:tcPr>
            <w:tcW w:w="12206" w:type="dxa"/>
            <w:shd w:val="clear" w:color="auto" w:fill="auto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r w:rsidRPr="00B354E9">
              <w:rPr>
                <w:rFonts w:ascii="Times New Roman" w:hAnsi="Times New Roman" w:cs="Times New Roman"/>
              </w:rPr>
              <w:t xml:space="preserve">Спираль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эмболизирующая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, стерильная, одноразового использования. Применяется для проведения внутрисосудистой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эмболизации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внутричерепных аневризм и иных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нейрососудистых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расстройств, а также для проведения артериальной или венозной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эмболизации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сосудов периферической системы кровообращения. Платиновая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эмболизирующая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спираль, закрепленная на системе доставки–толкателе. Спираль должна быть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рентгеноконтрастной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для облегчения позиционирование изделия. Обязательное наличие 2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рентгеноконтрастных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маркеров. Система доставки должна включать толкатель, к которому спираль прикреплена проксимальным концом,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интродьюсер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, при помощи которого спираль может быть установлена в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микрокатетер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доставки.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Интродьюсер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предназначен для механической защиты изделия во время транспортирования и хранения, а также для подачи изделия в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микрокатетер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. Материал спирали: спираль должна состоять из 3-х компонентов: внешняя спираль – платина, внутренняя спираль –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нитинол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, внутренний корд –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нитинол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. Характеристики спирали: Плотная структура, состоящая одновременно из внешней платиновой и внутренней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нитиноловой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спирали должна гарантировать долгосрочное сохранение изначальной формы, образовавшейся после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эмболизации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с минимальной вероятностью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реканализации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. Внутренний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нитиноловый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корд должен обладать очень высокой прочностью и отвечать за сопротивление спирали на разрыв. Внутренний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нитиноловый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корд обеспечивает создание каркаса и плотного заполнения спирали с минимальной вероятностью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реканализации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Типы мягкости: спираль должна иметь 3 типа мягкости: стандартная, мягкая,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экстрамягкая</w:t>
            </w:r>
            <w:proofErr w:type="spellEnd"/>
            <w:r w:rsidRPr="00B354E9">
              <w:rPr>
                <w:rFonts w:ascii="Times New Roman" w:hAnsi="Times New Roman" w:cs="Times New Roman"/>
              </w:rPr>
              <w:t>. Типы форм: обязательное наличие 3-х типов форм: сферическая, витая, прямая спираль с загнутым дистальным концом. Размеры спирали: внешний диаметр спирали – 0,020 дюйма, длина – от 2 см до 60 см, вторичный диаметр – от 1 мм до 32 мм. Отделение спирали: мгновенное, механическое с использованием отделяющей рукояти. Простая механическая система отделения спирали должна обеспечить полную надежность при введении или выведении без вероятности ложного отделения спирали. Длина спирали на выбор Заказчика (см): 1, 2, 3, 4, 5, 6, 8, 9, 10, 12, 13, 15, 20, 30, 35, 40, 45, 48, 50, 57, 60.</w:t>
            </w:r>
          </w:p>
        </w:tc>
      </w:tr>
      <w:tr w:rsidR="00B354E9" w:rsidRPr="00D81474" w:rsidTr="00275AA8">
        <w:trPr>
          <w:trHeight w:val="170"/>
        </w:trPr>
        <w:tc>
          <w:tcPr>
            <w:tcW w:w="710" w:type="dxa"/>
            <w:shd w:val="clear" w:color="auto" w:fill="auto"/>
          </w:tcPr>
          <w:p w:rsidR="00B354E9" w:rsidRPr="00D81474" w:rsidRDefault="00B354E9" w:rsidP="00B354E9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r w:rsidRPr="00B354E9">
              <w:rPr>
                <w:rFonts w:ascii="Times New Roman" w:hAnsi="Times New Roman" w:cs="Times New Roman"/>
              </w:rPr>
              <w:t xml:space="preserve">Жидкая церебральная эмболическая система </w:t>
            </w:r>
            <w:proofErr w:type="spellStart"/>
            <w:r w:rsidRPr="00B354E9">
              <w:rPr>
                <w:rFonts w:ascii="Times New Roman" w:hAnsi="Times New Roman" w:cs="Times New Roman"/>
              </w:rPr>
              <w:t>Onyx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r w:rsidRPr="00B354E9">
              <w:rPr>
                <w:rFonts w:ascii="Times New Roman" w:hAnsi="Times New Roman" w:cs="Times New Roman"/>
              </w:rPr>
              <w:t xml:space="preserve">Не адгезивный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рентгеноконтрастный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диметилсульфоксидорастворимый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имплант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эмболизации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интракраниальных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АВМ в комплекте со шприцами. Индекс вязкости - 18, 20, 34. Система включает ампулу с 1,5 мл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эмболизирующего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вещества, ампулу с 1,5 мл растворителя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диметилсульфоксида</w:t>
            </w:r>
            <w:proofErr w:type="spellEnd"/>
            <w:r w:rsidRPr="00B354E9">
              <w:rPr>
                <w:rFonts w:ascii="Times New Roman" w:hAnsi="Times New Roman" w:cs="Times New Roman"/>
              </w:rPr>
              <w:t>, 3 шприца объемом 1 мл.</w:t>
            </w:r>
          </w:p>
        </w:tc>
      </w:tr>
      <w:tr w:rsidR="00B354E9" w:rsidRPr="00D81474" w:rsidTr="00275AA8">
        <w:trPr>
          <w:trHeight w:val="170"/>
        </w:trPr>
        <w:tc>
          <w:tcPr>
            <w:tcW w:w="710" w:type="dxa"/>
            <w:shd w:val="clear" w:color="auto" w:fill="auto"/>
          </w:tcPr>
          <w:p w:rsidR="00B354E9" w:rsidRPr="00D81474" w:rsidRDefault="00B354E9" w:rsidP="00B354E9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proofErr w:type="spellStart"/>
            <w:r w:rsidRPr="00B354E9">
              <w:rPr>
                <w:rFonts w:ascii="Times New Roman" w:hAnsi="Times New Roman" w:cs="Times New Roman"/>
              </w:rPr>
              <w:t>Микрокатетер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для доставки эмболических систем с отрывным кончиком </w:t>
            </w:r>
            <w:proofErr w:type="spellStart"/>
            <w:r w:rsidRPr="00B354E9">
              <w:rPr>
                <w:rFonts w:ascii="Times New Roman" w:hAnsi="Times New Roman" w:cs="Times New Roman"/>
              </w:rPr>
              <w:t>Sonic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1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proofErr w:type="spellStart"/>
            <w:r w:rsidRPr="00B354E9">
              <w:rPr>
                <w:rFonts w:ascii="Times New Roman" w:hAnsi="Times New Roman" w:cs="Times New Roman"/>
              </w:rPr>
              <w:t>Микрокатетер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оснащен системой </w:t>
            </w:r>
            <w:proofErr w:type="spellStart"/>
            <w:r w:rsidRPr="00B354E9">
              <w:rPr>
                <w:rFonts w:ascii="Times New Roman" w:hAnsi="Times New Roman" w:cs="Times New Roman"/>
              </w:rPr>
              <w:t>Fusecath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, позволяющей отрываться дистальному кончику катетера в случае его приклеивания к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эмболизату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при достижении определенного значения натяжения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микрокатетера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. Минимальное воздействие на артерии. Минимальный риск возникновения кровотечения. Тип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микроплетения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в сочетании с прогрессивно уменьшающимися жесткостью и диаметром укрепляет гибкую дистальную часть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микрокатетера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и делает его устойчивым к высокому давлению. Это обеспечивает безопасность при проведении инъекций. Управляемый потоком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микрокатетер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обладает хорошей гибкостью, обеспечивающей прекрасные навигационные качества. Полная DMSO-совместимость. Поставляется с гидрофильным гибридным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микропроводником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в комплекте. Длина отрывного кончика 1,5 - 2,5 см, общая длина 165 - 190 см. Диаметры кончика: наружный - 1.2 - 1.5 F, внутренний - 0.17-0.27 мм. Максимальный рефлюкс 2-3 см.</w:t>
            </w:r>
          </w:p>
        </w:tc>
      </w:tr>
      <w:tr w:rsidR="00B354E9" w:rsidRPr="00D81474" w:rsidTr="00275AA8">
        <w:trPr>
          <w:trHeight w:val="170"/>
        </w:trPr>
        <w:tc>
          <w:tcPr>
            <w:tcW w:w="710" w:type="dxa"/>
            <w:shd w:val="clear" w:color="auto" w:fill="auto"/>
          </w:tcPr>
          <w:p w:rsidR="00B354E9" w:rsidRPr="00D81474" w:rsidRDefault="00B354E9" w:rsidP="00B354E9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proofErr w:type="spellStart"/>
            <w:r w:rsidRPr="00B354E9">
              <w:rPr>
                <w:rFonts w:ascii="Times New Roman" w:hAnsi="Times New Roman" w:cs="Times New Roman"/>
              </w:rPr>
              <w:t>Микропроводник</w:t>
            </w:r>
            <w:proofErr w:type="spellEnd"/>
            <w:r w:rsidRPr="00B354E9">
              <w:rPr>
                <w:rFonts w:ascii="Times New Roman" w:hAnsi="Times New Roman" w:cs="Times New Roman"/>
              </w:rPr>
              <w:t> </w:t>
            </w:r>
            <w:proofErr w:type="spellStart"/>
            <w:r w:rsidRPr="00B354E9">
              <w:rPr>
                <w:rFonts w:ascii="Times New Roman" w:hAnsi="Times New Roman" w:cs="Times New Roman"/>
              </w:rPr>
              <w:t>Synchro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.014</w:t>
            </w:r>
          </w:p>
        </w:tc>
        <w:tc>
          <w:tcPr>
            <w:tcW w:w="1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r w:rsidRPr="00B354E9">
              <w:rPr>
                <w:rFonts w:ascii="Times New Roman" w:hAnsi="Times New Roman" w:cs="Times New Roman"/>
              </w:rPr>
              <w:t xml:space="preserve">Прогрессивно утончающийся сердечник из нержавеющей стали, дистальный сегмент покрыт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нитиноловой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гипотрубкой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микронадсечками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. Дистальный сегмент 35/45 см. Кончик: плетеный платиново-вольфрамовый. 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Рентгеноконтрастный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сегмент 15 см. Покрытие: гидрофильное. Технология "</w:t>
            </w:r>
            <w:proofErr w:type="spellStart"/>
            <w:r w:rsidRPr="00B354E9">
              <w:rPr>
                <w:rFonts w:ascii="Times New Roman" w:hAnsi="Times New Roman" w:cs="Times New Roman"/>
              </w:rPr>
              <w:t>Turn-for-Turn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".  Диаметр проксимальный/дистальный 0,014 </w:t>
            </w:r>
            <w:proofErr w:type="spellStart"/>
            <w:r w:rsidRPr="00B354E9">
              <w:rPr>
                <w:rFonts w:ascii="Times New Roman" w:hAnsi="Times New Roman" w:cs="Times New Roman"/>
              </w:rPr>
              <w:t>inch</w:t>
            </w:r>
            <w:proofErr w:type="spellEnd"/>
            <w:r w:rsidRPr="00B354E9">
              <w:rPr>
                <w:rFonts w:ascii="Times New Roman" w:hAnsi="Times New Roman" w:cs="Times New Roman"/>
              </w:rPr>
              <w:t>. Общая длина не менее 200/300 см.</w:t>
            </w:r>
          </w:p>
        </w:tc>
      </w:tr>
      <w:tr w:rsidR="00B354E9" w:rsidRPr="00D81474" w:rsidTr="00275AA8">
        <w:trPr>
          <w:trHeight w:val="170"/>
        </w:trPr>
        <w:tc>
          <w:tcPr>
            <w:tcW w:w="710" w:type="dxa"/>
            <w:shd w:val="clear" w:color="auto" w:fill="auto"/>
          </w:tcPr>
          <w:p w:rsidR="00B354E9" w:rsidRPr="00D81474" w:rsidRDefault="00B354E9" w:rsidP="00B354E9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proofErr w:type="spellStart"/>
            <w:r w:rsidRPr="00B354E9">
              <w:rPr>
                <w:rFonts w:ascii="Times New Roman" w:hAnsi="Times New Roman" w:cs="Times New Roman"/>
              </w:rPr>
              <w:t>Стент-имплант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внутричерепной FRED JR и FRED X</w:t>
            </w:r>
          </w:p>
        </w:tc>
        <w:tc>
          <w:tcPr>
            <w:tcW w:w="1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54E9">
              <w:rPr>
                <w:rFonts w:ascii="Times New Roman" w:hAnsi="Times New Roman" w:cs="Times New Roman"/>
                <w:color w:val="000000"/>
              </w:rPr>
              <w:t xml:space="preserve">"• Самораскрывающийся реконструирующий внутричерепной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с хорошей радиальной силой, изготовленный из 16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нитиноловых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стоек (внешняя часть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) и 48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нитиноловых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стоек (внутренняя часть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– рабочая длина)</w:t>
            </w:r>
            <w:r w:rsidRPr="00B354E9">
              <w:rPr>
                <w:rFonts w:ascii="Times New Roman" w:hAnsi="Times New Roman" w:cs="Times New Roman"/>
                <w:color w:val="000000"/>
              </w:rPr>
              <w:br/>
              <w:t xml:space="preserve"> • 4 проксимальных и 4 дистальных маркера, а также 2 вольфрамовые нити для лучшей визуализации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и четкой видимости проточной части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br/>
              <w:t xml:space="preserve"> • Совместим с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микрокатетерами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0,027”</w:t>
            </w:r>
            <w:r w:rsidRPr="00B354E9">
              <w:rPr>
                <w:rFonts w:ascii="Times New Roman" w:hAnsi="Times New Roman" w:cs="Times New Roman"/>
                <w:color w:val="000000"/>
              </w:rPr>
              <w:br/>
              <w:t xml:space="preserve"> • Общая длина вала 185 см до 215 см</w:t>
            </w:r>
            <w:r w:rsidRPr="00B354E9">
              <w:rPr>
                <w:rFonts w:ascii="Times New Roman" w:hAnsi="Times New Roman" w:cs="Times New Roman"/>
                <w:color w:val="000000"/>
              </w:rPr>
              <w:br/>
              <w:t xml:space="preserve"> • Доступен для размеров сосудов 2,5-5,0 мм</w:t>
            </w:r>
            <w:r w:rsidRPr="00B354E9">
              <w:rPr>
                <w:rFonts w:ascii="Times New Roman" w:hAnsi="Times New Roman" w:cs="Times New Roman"/>
                <w:color w:val="000000"/>
              </w:rPr>
              <w:br/>
              <w:t xml:space="preserve"> • Рабочая длина – 7 -48 мм</w:t>
            </w:r>
            <w:r w:rsidRPr="00B354E9">
              <w:rPr>
                <w:rFonts w:ascii="Times New Roman" w:hAnsi="Times New Roman" w:cs="Times New Roman"/>
                <w:color w:val="000000"/>
              </w:rPr>
              <w:br/>
              <w:t xml:space="preserve"> • Длина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(общая) – 13 – 55 мм</w:t>
            </w:r>
            <w:r w:rsidRPr="00B354E9">
              <w:rPr>
                <w:rFonts w:ascii="Times New Roman" w:hAnsi="Times New Roman" w:cs="Times New Roman"/>
                <w:color w:val="000000"/>
              </w:rPr>
              <w:br/>
              <w:t xml:space="preserve"> • Возможна репозиция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с 80% его полной длины."</w:t>
            </w:r>
          </w:p>
        </w:tc>
      </w:tr>
      <w:tr w:rsidR="00B354E9" w:rsidRPr="00D81474" w:rsidTr="00275AA8">
        <w:trPr>
          <w:trHeight w:val="170"/>
        </w:trPr>
        <w:tc>
          <w:tcPr>
            <w:tcW w:w="710" w:type="dxa"/>
            <w:shd w:val="clear" w:color="auto" w:fill="auto"/>
          </w:tcPr>
          <w:p w:rsidR="00B354E9" w:rsidRPr="00D81474" w:rsidRDefault="00B354E9" w:rsidP="00B354E9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proofErr w:type="spellStart"/>
            <w:r w:rsidRPr="00B354E9">
              <w:rPr>
                <w:rFonts w:ascii="Times New Roman" w:hAnsi="Times New Roman" w:cs="Times New Roman"/>
              </w:rPr>
              <w:t>Cтент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для лечения стенозов сосудов головного мозга </w:t>
            </w:r>
            <w:proofErr w:type="spellStart"/>
            <w:r w:rsidRPr="00B354E9">
              <w:rPr>
                <w:rFonts w:ascii="Times New Roman" w:hAnsi="Times New Roman" w:cs="Times New Roman"/>
              </w:rPr>
              <w:t>Acclino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54E9">
              <w:rPr>
                <w:rFonts w:ascii="Times New Roman" w:hAnsi="Times New Roman" w:cs="Times New Roman"/>
              </w:rPr>
              <w:t>Flex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54E9">
              <w:rPr>
                <w:rFonts w:ascii="Times New Roman" w:hAnsi="Times New Roman" w:cs="Times New Roman"/>
              </w:rPr>
              <w:t>Plus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HRF</w:t>
            </w:r>
          </w:p>
        </w:tc>
        <w:tc>
          <w:tcPr>
            <w:tcW w:w="1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Интракраниальный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для лечения стенозов. Рекомендуемый диаметр сосудов от 1,5 мм до 6,0 мм. Диаметр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стентов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от 3,0 мм до 6,5 мм. Длина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от 15 мм до 30 мм. Благодаря низкому профилю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от 3 мм до 5.5 мм может быть доставлен через катетер 0,0165 дюйма, в результате для доставки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не требуется замена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микрокатетера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, что минимизирует время процедуры и процедурные риски.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диаметром 6,5 мм может быть доставлен через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микрокатетер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0,021 дюйма. Возможность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репозиционирования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54E9">
              <w:rPr>
                <w:rFonts w:ascii="Times New Roman" w:hAnsi="Times New Roman" w:cs="Times New Roman"/>
                <w:color w:val="000000"/>
              </w:rPr>
              <w:t>стента</w:t>
            </w:r>
            <w:proofErr w:type="spellEnd"/>
            <w:r w:rsidRPr="00B354E9">
              <w:rPr>
                <w:rFonts w:ascii="Times New Roman" w:hAnsi="Times New Roman" w:cs="Times New Roman"/>
                <w:color w:val="000000"/>
              </w:rPr>
              <w:t xml:space="preserve"> в случае его раскрытия до 90%. 3 дистальных и 3 проксимальных платиноиридиевых маркера и центральный маркер на толкателе.</w:t>
            </w:r>
          </w:p>
        </w:tc>
      </w:tr>
      <w:tr w:rsidR="00B354E9" w:rsidRPr="00D81474" w:rsidTr="00275AA8">
        <w:trPr>
          <w:trHeight w:val="170"/>
        </w:trPr>
        <w:tc>
          <w:tcPr>
            <w:tcW w:w="710" w:type="dxa"/>
            <w:shd w:val="clear" w:color="auto" w:fill="auto"/>
          </w:tcPr>
          <w:p w:rsidR="00B354E9" w:rsidRPr="00D81474" w:rsidRDefault="00B354E9" w:rsidP="00B354E9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r w:rsidRPr="00B354E9">
              <w:rPr>
                <w:rFonts w:ascii="Times New Roman" w:hAnsi="Times New Roman" w:cs="Times New Roman"/>
              </w:rPr>
              <w:t xml:space="preserve">Устройство для закрытия места пункции сосудов </w:t>
            </w:r>
            <w:proofErr w:type="spellStart"/>
            <w:r w:rsidRPr="00B354E9">
              <w:rPr>
                <w:rFonts w:ascii="Times New Roman" w:hAnsi="Times New Roman" w:cs="Times New Roman"/>
              </w:rPr>
              <w:t>Cordis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54E9">
              <w:rPr>
                <w:rFonts w:ascii="Times New Roman" w:hAnsi="Times New Roman" w:cs="Times New Roman"/>
              </w:rPr>
              <w:t>ExoSeal</w:t>
            </w:r>
            <w:proofErr w:type="spellEnd"/>
            <w:r w:rsidRPr="00B354E9">
              <w:rPr>
                <w:rFonts w:ascii="Times New Roman" w:hAnsi="Times New Roman" w:cs="Times New Roman"/>
              </w:rPr>
              <w:t>, стерильное, размерами 5F, 6F, 7F</w:t>
            </w:r>
          </w:p>
        </w:tc>
        <w:tc>
          <w:tcPr>
            <w:tcW w:w="1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r w:rsidRPr="00B354E9">
              <w:rPr>
                <w:rFonts w:ascii="Times New Roman" w:hAnsi="Times New Roman" w:cs="Times New Roman"/>
              </w:rPr>
              <w:t xml:space="preserve">Устройство для закрытия места пункции бедренной артерии с помощью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полигликолевой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пробки. Устройство состоит из рукоятки,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шафта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и пробки. Пробка размещена внутри дистального отдела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шафта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. Внутренний просвет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шафта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имеет канал для проводника, фиксирующего устройство в месте пункции. Материалы: пробка –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полигликолевая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кислота,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неколлагеновая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, биосовместимая, полностью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резорбирующаяся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(вода и углекислый газ) в течение 60-90 дней, вес пробки 10 мг, длина до установки – 7,2 мм, диаметр 5 F – 0,061", 6 F – 0,073", 7 F -  0,082". Рукоятка и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шафт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– пластик, длина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шафта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– 12 см. Проводник –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нитинол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. (А). Механизм работы: при установке пробка располагается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экстравазально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между фасцией и стенкой артерии с целью исключения</w:t>
            </w:r>
            <w:bookmarkStart w:id="0" w:name="_GoBack"/>
            <w:bookmarkEnd w:id="0"/>
            <w:r w:rsidRPr="00B354E9">
              <w:rPr>
                <w:rFonts w:ascii="Times New Roman" w:hAnsi="Times New Roman" w:cs="Times New Roman"/>
              </w:rPr>
              <w:t xml:space="preserve"> кровотечения, что обеспечивается с помощью 2 независимых механизмов прецизионной установки пробки: на рукоятке имеется порт поступления крови и индикаторное окно, показывающие положение дистального кончика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шафта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354E9">
              <w:rPr>
                <w:rFonts w:ascii="Times New Roman" w:hAnsi="Times New Roman" w:cs="Times New Roman"/>
              </w:rPr>
              <w:t>интра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экстравазальное</w:t>
            </w:r>
            <w:proofErr w:type="spellEnd"/>
            <w:r w:rsidRPr="00B354E9">
              <w:rPr>
                <w:rFonts w:ascii="Times New Roman" w:hAnsi="Times New Roman" w:cs="Times New Roman"/>
              </w:rPr>
              <w:t>). Размеры: 5 F, 6 F, 7 F. Размеры по заявке Заказчика</w:t>
            </w:r>
          </w:p>
        </w:tc>
      </w:tr>
      <w:tr w:rsidR="00B354E9" w:rsidRPr="00D81474" w:rsidTr="00275AA8">
        <w:trPr>
          <w:trHeight w:val="170"/>
        </w:trPr>
        <w:tc>
          <w:tcPr>
            <w:tcW w:w="710" w:type="dxa"/>
            <w:shd w:val="clear" w:color="auto" w:fill="auto"/>
          </w:tcPr>
          <w:p w:rsidR="00B354E9" w:rsidRPr="00D81474" w:rsidRDefault="00B354E9" w:rsidP="00B354E9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proofErr w:type="spellStart"/>
            <w:r w:rsidRPr="00B354E9">
              <w:rPr>
                <w:rFonts w:ascii="Times New Roman" w:hAnsi="Times New Roman" w:cs="Times New Roman"/>
              </w:rPr>
              <w:t>Эмболизирующее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устройство </w:t>
            </w:r>
            <w:proofErr w:type="spellStart"/>
            <w:r w:rsidRPr="00B354E9">
              <w:rPr>
                <w:rFonts w:ascii="Times New Roman" w:hAnsi="Times New Roman" w:cs="Times New Roman"/>
              </w:rPr>
              <w:t>Pipeline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54E9">
              <w:rPr>
                <w:rFonts w:ascii="Times New Roman" w:hAnsi="Times New Roman" w:cs="Times New Roman"/>
              </w:rPr>
              <w:t>Flex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(10шт)</w:t>
            </w:r>
          </w:p>
        </w:tc>
        <w:tc>
          <w:tcPr>
            <w:tcW w:w="1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4E9" w:rsidRPr="00B354E9" w:rsidRDefault="00B354E9" w:rsidP="00B354E9">
            <w:pPr>
              <w:rPr>
                <w:rFonts w:ascii="Times New Roman" w:hAnsi="Times New Roman" w:cs="Times New Roman"/>
              </w:rPr>
            </w:pPr>
            <w:proofErr w:type="spellStart"/>
            <w:r w:rsidRPr="00B354E9">
              <w:rPr>
                <w:rFonts w:ascii="Times New Roman" w:hAnsi="Times New Roman" w:cs="Times New Roman"/>
              </w:rPr>
              <w:t>Эмболизирующее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устройство –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интракраниальный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. Представляет собой самораскрывающуюся плетеную конструкцию из 2-х видов проволоки: кобальт-хромовой и платиновой.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в сложенном состоянии закреплен на доставляющем проводнике дистальным концом, вкрученным в соответствующее расширение на проводнике. Проводник имеет гибкий,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рентгеноконтрастный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20 мм дистальный кончик и жесткую устойчивую проксимальную часть.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совместим с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микрокатетером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с внутренним диаметром 0.027".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должен обеспечивать перенаправление потока и приводить к постепенному стробированию аневризм, сохраняя при этом афферентные сосуды проходимыми. При полном раскрытии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стента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доставляющий проводник должен оставаться внутри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стента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для проведения </w:t>
            </w:r>
            <w:proofErr w:type="spellStart"/>
            <w:r w:rsidRPr="00B354E9">
              <w:rPr>
                <w:rFonts w:ascii="Times New Roman" w:hAnsi="Times New Roman" w:cs="Times New Roman"/>
              </w:rPr>
              <w:t>микрокатетера</w:t>
            </w:r>
            <w:proofErr w:type="spellEnd"/>
            <w:r w:rsidRPr="00B354E9">
              <w:rPr>
                <w:rFonts w:ascii="Times New Roman" w:hAnsi="Times New Roman" w:cs="Times New Roman"/>
              </w:rPr>
              <w:t xml:space="preserve"> и установки других </w:t>
            </w:r>
            <w:proofErr w:type="spellStart"/>
            <w:r w:rsidRPr="00B354E9">
              <w:rPr>
                <w:rFonts w:ascii="Times New Roman" w:hAnsi="Times New Roman" w:cs="Times New Roman"/>
              </w:rPr>
              <w:t>стентов</w:t>
            </w:r>
            <w:proofErr w:type="spellEnd"/>
            <w:r w:rsidRPr="00B354E9">
              <w:rPr>
                <w:rFonts w:ascii="Times New Roman" w:hAnsi="Times New Roman" w:cs="Times New Roman"/>
              </w:rPr>
              <w:t>. Диаметр (мм): 2.50; 2.75; 3.0; 3.25; 3.50; 3.75; 4.0; 4.25; 4.50; 4.75; 5.0; длина (мм): 10; 12; 14; 16; 18; 20; 25; 30; 35. Размер по заявке конечного получателя.</w:t>
            </w:r>
          </w:p>
        </w:tc>
      </w:tr>
    </w:tbl>
    <w:p w:rsidR="003B26F5" w:rsidRPr="00D81474" w:rsidRDefault="003B26F5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sectPr w:rsidR="003B26F5" w:rsidRPr="00D81474" w:rsidSect="00864445">
      <w:headerReference w:type="default" r:id="rId8"/>
      <w:footerReference w:type="default" r:id="rId9"/>
      <w:pgSz w:w="16838" w:h="11906" w:orient="landscape"/>
      <w:pgMar w:top="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C0F" w:rsidRDefault="00ED6C0F" w:rsidP="00D118D2">
      <w:pPr>
        <w:spacing w:after="0" w:line="240" w:lineRule="auto"/>
      </w:pPr>
      <w:r>
        <w:separator/>
      </w:r>
    </w:p>
  </w:endnote>
  <w:endnote w:type="continuationSeparator" w:id="0">
    <w:p w:rsidR="00ED6C0F" w:rsidRDefault="00ED6C0F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C0F" w:rsidRDefault="00ED6C0F" w:rsidP="00D118D2">
      <w:pPr>
        <w:spacing w:after="0" w:line="240" w:lineRule="auto"/>
      </w:pPr>
      <w:r>
        <w:separator/>
      </w:r>
    </w:p>
  </w:footnote>
  <w:footnote w:type="continuationSeparator" w:id="0">
    <w:p w:rsidR="00ED6C0F" w:rsidRDefault="00ED6C0F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76B28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04F49"/>
    <w:rsid w:val="000258CD"/>
    <w:rsid w:val="0004378E"/>
    <w:rsid w:val="000A7362"/>
    <w:rsid w:val="00171263"/>
    <w:rsid w:val="00201D3B"/>
    <w:rsid w:val="002220F9"/>
    <w:rsid w:val="00256FA5"/>
    <w:rsid w:val="002832A9"/>
    <w:rsid w:val="0028379C"/>
    <w:rsid w:val="002A43AF"/>
    <w:rsid w:val="002B330C"/>
    <w:rsid w:val="002D05D5"/>
    <w:rsid w:val="002D38F9"/>
    <w:rsid w:val="00313C78"/>
    <w:rsid w:val="00322C49"/>
    <w:rsid w:val="003407D1"/>
    <w:rsid w:val="00346738"/>
    <w:rsid w:val="003A581C"/>
    <w:rsid w:val="003B26F5"/>
    <w:rsid w:val="00441A44"/>
    <w:rsid w:val="00487E9E"/>
    <w:rsid w:val="004959F6"/>
    <w:rsid w:val="004B61A2"/>
    <w:rsid w:val="004C424A"/>
    <w:rsid w:val="004C4DD5"/>
    <w:rsid w:val="00505B63"/>
    <w:rsid w:val="00525FC1"/>
    <w:rsid w:val="0053064F"/>
    <w:rsid w:val="005316B5"/>
    <w:rsid w:val="00537718"/>
    <w:rsid w:val="00566A49"/>
    <w:rsid w:val="005E7B1B"/>
    <w:rsid w:val="00615931"/>
    <w:rsid w:val="00627C04"/>
    <w:rsid w:val="00653EA6"/>
    <w:rsid w:val="0065482B"/>
    <w:rsid w:val="00663B7F"/>
    <w:rsid w:val="00687590"/>
    <w:rsid w:val="006A2ECA"/>
    <w:rsid w:val="006D485E"/>
    <w:rsid w:val="006E2365"/>
    <w:rsid w:val="006E28AA"/>
    <w:rsid w:val="00704FDF"/>
    <w:rsid w:val="00722B62"/>
    <w:rsid w:val="00725373"/>
    <w:rsid w:val="00781F5D"/>
    <w:rsid w:val="00815C43"/>
    <w:rsid w:val="0084707A"/>
    <w:rsid w:val="00864445"/>
    <w:rsid w:val="0089471B"/>
    <w:rsid w:val="008C491C"/>
    <w:rsid w:val="008D50E4"/>
    <w:rsid w:val="008D6F7C"/>
    <w:rsid w:val="00950A2A"/>
    <w:rsid w:val="0095637F"/>
    <w:rsid w:val="00A228C6"/>
    <w:rsid w:val="00AF10E2"/>
    <w:rsid w:val="00B117BC"/>
    <w:rsid w:val="00B11F00"/>
    <w:rsid w:val="00B30CDB"/>
    <w:rsid w:val="00B354E9"/>
    <w:rsid w:val="00B50626"/>
    <w:rsid w:val="00B62A7C"/>
    <w:rsid w:val="00BC5302"/>
    <w:rsid w:val="00BF31AF"/>
    <w:rsid w:val="00C17063"/>
    <w:rsid w:val="00C5583F"/>
    <w:rsid w:val="00C627E5"/>
    <w:rsid w:val="00C8214D"/>
    <w:rsid w:val="00CE1430"/>
    <w:rsid w:val="00D118D2"/>
    <w:rsid w:val="00D81474"/>
    <w:rsid w:val="00DD5BDF"/>
    <w:rsid w:val="00DE2001"/>
    <w:rsid w:val="00DF69FD"/>
    <w:rsid w:val="00E16240"/>
    <w:rsid w:val="00E74A65"/>
    <w:rsid w:val="00E75B29"/>
    <w:rsid w:val="00E8455A"/>
    <w:rsid w:val="00E901DF"/>
    <w:rsid w:val="00EB47B0"/>
    <w:rsid w:val="00ED6C0F"/>
    <w:rsid w:val="00EF2FF0"/>
    <w:rsid w:val="00F1440F"/>
    <w:rsid w:val="00F149F3"/>
    <w:rsid w:val="00F36F23"/>
    <w:rsid w:val="00F559A9"/>
    <w:rsid w:val="00F750CA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E5DC7389-D3E4-445C-AA07-AE71A414C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8D6F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locked/>
    <w:rsid w:val="00B11F00"/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6"/>
    <w:basedOn w:val="a0"/>
    <w:rsid w:val="00283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BodytextBold">
    <w:name w:val="Body text + Bold"/>
    <w:basedOn w:val="a0"/>
    <w:rsid w:val="00283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table" w:styleId="ad">
    <w:name w:val="Table Grid"/>
    <w:basedOn w:val="a1"/>
    <w:uiPriority w:val="59"/>
    <w:rsid w:val="0028379C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B30CDB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117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E88EC-0A89-4DBA-8CF4-F532938E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Жантасова Асель Канатовна</cp:lastModifiedBy>
  <cp:revision>17</cp:revision>
  <cp:lastPrinted>2023-03-16T09:23:00Z</cp:lastPrinted>
  <dcterms:created xsi:type="dcterms:W3CDTF">2022-02-26T03:42:00Z</dcterms:created>
  <dcterms:modified xsi:type="dcterms:W3CDTF">2023-03-16T09:23:00Z</dcterms:modified>
</cp:coreProperties>
</file>